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e-SIC - Estatisticas de Acesso a Informacao</w:t>
      </w:r>
      <w:bookmarkEnd w:id="0"/>
    </w:p>
    <w:p>
      <w:pPr/>
      <w:r>
        <w:rPr>
          <w:color w:val="6B7280"/>
          <w:sz w:val="20"/>
          <w:szCs w:val="20"/>
          <w:i w:val="1"/>
          <w:iCs w:val="1"/>
        </w:rPr>
        <w:t xml:space="preserve">Periodo: Exercício 2023</w:t>
      </w:r>
    </w:p>
    <w:p/>
    <w:p>
      <w:pPr>
        <w:pStyle w:val="Heading2"/>
      </w:pPr>
      <w:bookmarkStart w:id="1" w:name="_Toc1"/>
      <w:r>
        <w:t>Resumo Geral</w:t>
      </w:r>
      <w:bookmarkEnd w:id="1"/>
    </w:p>
    <w:tbl>
      <w:tblGrid>
        <w:gridCol w:w="5000" w:type="dxa"/>
        <w:gridCol w:w="2000" w:type="dxa"/>
      </w:tblGrid>
      <w:tblPr>
        <w:tblW w:w="0" w:type="auto"/>
        <w:tblLayout w:type="autofit"/>
        <w:tblCellMar>
          <w:top w:w="100" w:type="dxa"/>
          <w:left w:w="100" w:type="dxa"/>
          <w:right w:w="100" w:type="dxa"/>
          <w:bottom w:w="100" w:type="dxa"/>
        </w:tblCellMar>
        <w:tblBorders>
          <w:top w:val="single" w:sz="6" w:color="BFDBFE"/>
          <w:left w:val="single" w:sz="6" w:color="BFDBFE"/>
          <w:right w:val="single" w:sz="6" w:color="BFDBFE"/>
          <w:bottom w:val="single" w:sz="6" w:color="BFDBFE"/>
          <w:insideH w:val="single" w:sz="6" w:color="BFDBFE"/>
          <w:insideV w:val="single" w:sz="6" w:color="BFDBFE"/>
        </w:tblBorders>
      </w:tblPr>
      <w:tr>
        <w:trPr>
          <w:trHeight w:val="400" w:hRule="atLeast"/>
        </w:trPr>
        <w:tc>
          <w:tcPr>
            <w:tcW w:w="5000" w:type="dxa"/>
            <w:shd w:val="clear" w:fill="1D4ED8"/>
            <w:noWrap/>
          </w:tcPr>
          <w:p>
            <w:pPr/>
            <w:r>
              <w:rPr>
                <w:color w:val="FFFFFF"/>
                <w:sz w:val="22"/>
                <w:szCs w:val="22"/>
                <w:b w:val="1"/>
                <w:bCs w:val="1"/>
              </w:rPr>
              <w:t xml:space="preserve">Indicador</w:t>
            </w:r>
          </w:p>
        </w:tc>
        <w:tc>
          <w:tcPr>
            <w:tcW w:w="2000" w:type="dxa"/>
            <w:shd w:val="clear" w:fill="1D4ED8"/>
            <w:noWrap/>
          </w:tcPr>
          <w:p>
            <w:pPr/>
            <w:r>
              <w:rPr>
                <w:color w:val="FFFFFF"/>
                <w:sz w:val="22"/>
                <w:szCs w:val="22"/>
                <w:b w:val="1"/>
                <w:bCs w:val="1"/>
              </w:rPr>
              <w:t xml:space="preserve">Quantidade</w:t>
            </w:r>
          </w:p>
        </w:tc>
      </w:tr>
      <w:tr>
        <w:trPr/>
        <w:tc>
          <w:tcPr>
            <w:tcW w:w="5000" w:type="dxa"/>
            <w:shd w:val="clear" w:fill="EFF6FF"/>
            <w:noWrap/>
          </w:tcPr>
          <w:p>
            <w:pPr/>
            <w:r>
              <w:rPr/>
              <w:t xml:space="preserve">Total de Solicitacoes</w:t>
            </w:r>
          </w:p>
        </w:tc>
        <w:tc>
          <w:tcPr>
            <w:tcW w:w="2000" w:type="dxa"/>
            <w:shd w:val="clear" w:fill="EFF6FF"/>
            <w:noWrap/>
          </w:tcPr>
          <w:p>
            <w:pPr/>
            <w:r>
              <w:rPr/>
              <w:t xml:space="preserve">5</w:t>
            </w:r>
          </w:p>
        </w:tc>
      </w:tr>
      <w:tr>
        <w:trPr/>
        <w:tc>
          <w:tcPr>
            <w:tcW w:w="5000" w:type="dxa"/>
            <w:shd w:val="clear" w:fill="FFFFFF"/>
            <w:noWrap/>
          </w:tcPr>
          <w:p>
            <w:pPr/>
            <w:r>
              <w:rPr/>
              <w:t xml:space="preserve">Respondidas</w:t>
            </w:r>
          </w:p>
        </w:tc>
        <w:tc>
          <w:tcPr>
            <w:tcW w:w="2000" w:type="dxa"/>
            <w:shd w:val="clear" w:fill="FFFFFF"/>
            <w:noWrap/>
          </w:tcPr>
          <w:p>
            <w:pPr/>
            <w:r>
              <w:rPr/>
              <w:t xml:space="preserve">3</w:t>
            </w:r>
          </w:p>
        </w:tc>
      </w:tr>
      <w:tr>
        <w:trPr/>
        <w:tc>
          <w:tcPr>
            <w:tcW w:w="5000" w:type="dxa"/>
            <w:shd w:val="clear" w:fill="EFF6FF"/>
            <w:noWrap/>
          </w:tcPr>
          <w:p>
            <w:pPr/>
            <w:r>
              <w:rPr/>
              <w:t xml:space="preserve">Indeferidas</w:t>
            </w:r>
          </w:p>
        </w:tc>
        <w:tc>
          <w:tcPr>
            <w:tcW w:w="2000" w:type="dxa"/>
            <w:shd w:val="clear" w:fill="EFF6FF"/>
            <w:noWrap/>
          </w:tcPr>
          <w:p>
            <w:pPr/>
            <w:r>
              <w:rPr/>
              <w:t xml:space="preserve">2</w:t>
            </w:r>
          </w:p>
        </w:tc>
      </w:tr>
      <w:tr>
        <w:trPr/>
        <w:tc>
          <w:tcPr>
            <w:tcW w:w="5000" w:type="dxa"/>
            <w:shd w:val="clear" w:fill="FFFFFF"/>
            <w:noWrap/>
          </w:tcPr>
          <w:p>
            <w:pPr/>
            <w:r>
              <w:rPr/>
              <w:t xml:space="preserve">Pendentes / Em Analise</w:t>
            </w:r>
          </w:p>
        </w:tc>
        <w:tc>
          <w:tcPr>
            <w:tcW w:w="2000" w:type="dxa"/>
            <w:shd w:val="clear" w:fill="FFFFFF"/>
            <w:noWrap/>
          </w:tcPr>
          <w:p>
            <w:pPr/>
            <w:r>
              <w:rPr/>
              <w:t xml:space="preserve">0</w:t>
            </w:r>
          </w:p>
        </w:tc>
      </w:tr>
    </w:tbl>
    <w:p/>
    <w:p>
      <w:pPr>
        <w:pStyle w:val="Heading2"/>
      </w:pPr>
      <w:bookmarkStart w:id="2" w:name="_Toc2"/>
      <w:r>
        <w:t>Estatisticas Mensais</w:t>
      </w:r>
      <w:bookmarkEnd w:id="2"/>
    </w:p>
    <w:tbl>
      <w:tblGrid>
        <w:gridCol w:w="2000" w:type="dxa"/>
        <w:gridCol w:w="2000" w:type="dxa"/>
        <w:gridCol w:w="2000" w:type="dxa"/>
        <w:gridCol w:w="2000" w:type="dxa"/>
      </w:tblGrid>
      <w:tblPr>
        <w:tblW w:w="0" w:type="auto"/>
        <w:tblLayout w:type="autofit"/>
        <w:tblCellMar>
          <w:top w:w="80" w:type="dxa"/>
          <w:left w:w="80" w:type="dxa"/>
          <w:right w:w="80" w:type="dxa"/>
          <w:bottom w:w="80" w:type="dxa"/>
        </w:tblCellMar>
        <w:tblBorders>
          <w:top w:val="single" w:sz="6" w:color="BFDBFE"/>
          <w:left w:val="single" w:sz="6" w:color="BFDBFE"/>
          <w:right w:val="single" w:sz="6" w:color="BFDBFE"/>
          <w:bottom w:val="single" w:sz="6" w:color="BFDBFE"/>
          <w:insideH w:val="single" w:sz="6" w:color="BFDBFE"/>
          <w:insideV w:val="single" w:sz="6" w:color="BFDBFE"/>
        </w:tblBorders>
      </w:tblPr>
      <w:tr>
        <w:trPr>
          <w:trHeight w:val="400" w:hRule="atLeast"/>
        </w:trPr>
        <w:tc>
          <w:tcPr>
            <w:tcW w:w="2000" w:type="dxa"/>
            <w:shd w:val="clear" w:fill="1D4ED8"/>
            <w:noWrap/>
          </w:tcPr>
          <w:p>
            <w:pPr/>
            <w:r>
              <w:rPr>
                <w:color w:val="FFFFFF"/>
                <w:sz w:val="22"/>
                <w:szCs w:val="22"/>
                <w:b w:val="1"/>
                <w:bCs w:val="1"/>
              </w:rPr>
              <w:t xml:space="preserve">Mes/Ano</w:t>
            </w:r>
          </w:p>
        </w:tc>
        <w:tc>
          <w:tcPr>
            <w:tcW w:w="2000" w:type="dxa"/>
            <w:shd w:val="clear" w:fill="1D4ED8"/>
            <w:noWrap/>
          </w:tcPr>
          <w:p>
            <w:pPr/>
            <w:r>
              <w:rPr>
                <w:color w:val="FFFFFF"/>
                <w:sz w:val="22"/>
                <w:szCs w:val="22"/>
                <w:b w:val="1"/>
                <w:bCs w:val="1"/>
              </w:rPr>
              <w:t xml:space="preserve">Recebidas</w:t>
            </w:r>
          </w:p>
        </w:tc>
        <w:tc>
          <w:tcPr>
            <w:tcW w:w="2000" w:type="dxa"/>
            <w:shd w:val="clear" w:fill="1D4ED8"/>
            <w:noWrap/>
          </w:tcPr>
          <w:p>
            <w:pPr/>
            <w:r>
              <w:rPr>
                <w:color w:val="FFFFFF"/>
                <w:sz w:val="22"/>
                <w:szCs w:val="22"/>
                <w:b w:val="1"/>
                <w:bCs w:val="1"/>
              </w:rPr>
              <w:t xml:space="preserve">Respondidas</w:t>
            </w:r>
          </w:p>
        </w:tc>
        <w:tc>
          <w:tcPr>
            <w:tcW w:w="2000" w:type="dxa"/>
            <w:shd w:val="clear" w:fill="1D4ED8"/>
            <w:noWrap/>
          </w:tcPr>
          <w:p>
            <w:pPr/>
            <w:r>
              <w:rPr>
                <w:color w:val="FFFFFF"/>
                <w:sz w:val="22"/>
                <w:szCs w:val="22"/>
                <w:b w:val="1"/>
                <w:bCs w:val="1"/>
              </w:rPr>
              <w:t xml:space="preserve">Pendentes</w:t>
            </w:r>
          </w:p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Jan/2023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Fev/2023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Mar/2023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Abr/2023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Mai/2023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Jun/2023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Jul/2023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Ago/2023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Set/2023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Out/2023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Nov/2023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Dez/2023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</w:tr>
    </w:tbl>
    <w:sectPr>
      <w:pgSz w:orient="portrait" w:w="11905.511811023621703498065471649169921875" w:h="16837.795275590549863409250974655151367187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color w:val="1D4ED8"/>
      <w:sz w:val="32"/>
      <w:szCs w:val="32"/>
      <w:b w:val="1"/>
      <w:bCs w:val="1"/>
    </w:rPr>
  </w:style>
  <w:style w:type="paragraph" w:styleId="Heading2">
    <w:link w:val="Heading2Char"/>
    <w:name w:val="heading 2"/>
    <w:basedOn w:val="Normal"/>
    <w:pPr>
      <w:spacing w:before="240" w:after="80"/>
    </w:pPr>
    <w:rPr>
      <w:color w:val="374151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2026-11-08T14:31:30-03:00</dcterms:created>
  <dcterms:modified xsi:type="dcterms:W3CDTF">2026-11-08T14:31:30-03:00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